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356" w:rsidRDefault="007078B8">
      <w:bookmarkStart w:id="0" w:name="_GoBack"/>
      <w:bookmarkEnd w:id="0"/>
      <w:r>
        <w:t xml:space="preserve">Dear </w:t>
      </w:r>
      <w:proofErr w:type="gramStart"/>
      <w:r>
        <w:t>Whom</w:t>
      </w:r>
      <w:proofErr w:type="gramEnd"/>
      <w:r>
        <w:t xml:space="preserve"> It May Concern,</w:t>
      </w:r>
      <w:r>
        <w:rPr>
          <w:b/>
        </w:rPr>
        <w:t xml:space="preserve"> </w:t>
      </w:r>
      <w:r>
        <w:rPr>
          <w:noProof/>
        </w:rPr>
        <w:drawing>
          <wp:anchor distT="0" distB="0" distL="0" distR="0" simplePos="0" relativeHeight="251658240" behindDoc="0" locked="0" layoutInCell="1" hidden="0" allowOverlap="1">
            <wp:simplePos x="0" y="0"/>
            <wp:positionH relativeFrom="column">
              <wp:posOffset>5501640</wp:posOffset>
            </wp:positionH>
            <wp:positionV relativeFrom="paragraph">
              <wp:posOffset>-739139</wp:posOffset>
            </wp:positionV>
            <wp:extent cx="899160" cy="899160"/>
            <wp:effectExtent l="0" t="0" r="0" b="0"/>
            <wp:wrapSquare wrapText="bothSides" distT="0" distB="0" distL="0" distR="0"/>
            <wp:docPr id="2" name="image1.png" descr="A close up of a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clock&#10;&#10;Description automatically generated"/>
                    <pic:cNvPicPr preferRelativeResize="0"/>
                  </pic:nvPicPr>
                  <pic:blipFill>
                    <a:blip r:embed="rId6"/>
                    <a:srcRect/>
                    <a:stretch>
                      <a:fillRect/>
                    </a:stretch>
                  </pic:blipFill>
                  <pic:spPr>
                    <a:xfrm>
                      <a:off x="0" y="0"/>
                      <a:ext cx="899160" cy="899160"/>
                    </a:xfrm>
                    <a:prstGeom prst="rect">
                      <a:avLst/>
                    </a:prstGeom>
                    <a:ln/>
                  </pic:spPr>
                </pic:pic>
              </a:graphicData>
            </a:graphic>
          </wp:anchor>
        </w:drawing>
      </w:r>
    </w:p>
    <w:p w:rsidR="00622356" w:rsidRDefault="007078B8">
      <w:r>
        <w:t xml:space="preserve">Your student-athlete has suffered a </w:t>
      </w:r>
      <w:r>
        <w:rPr>
          <w:b/>
        </w:rPr>
        <w:t>suspected concussion</w:t>
      </w:r>
      <w:r>
        <w:t xml:space="preserve"> during activity. According to Friendswood ISD policy and procedure, the student-athlete must follow the Concussion Management Protocol </w:t>
      </w:r>
      <w:proofErr w:type="gramStart"/>
      <w:r>
        <w:t>in order to</w:t>
      </w:r>
      <w:proofErr w:type="gramEnd"/>
      <w:r>
        <w:t xml:space="preserve"> be able to return to activity in both the required manner, as well as a safe manner. </w:t>
      </w:r>
    </w:p>
    <w:p w:rsidR="00622356" w:rsidRDefault="007078B8">
      <w:r>
        <w:t xml:space="preserve">A </w:t>
      </w:r>
      <w:r>
        <w:rPr>
          <w:b/>
        </w:rPr>
        <w:t>concussion</w:t>
      </w:r>
      <w:r>
        <w:t xml:space="preserve"> is a type</w:t>
      </w:r>
      <w:r>
        <w:t xml:space="preserve"> of traumatic brain injury that interferes with normal function of the brain and is caused by a bump, blow, or jot to the head or body. Once this injury occurs, the brain is vulnerable to further injury and very sensitive to any increased stress until it f</w:t>
      </w:r>
      <w:r>
        <w:t xml:space="preserve">ully recovers. Student-athletes with a concussion need rest from physical and mental activities that require concentration and attention as these activities may worsen symptoms include, but are not limited to: </w:t>
      </w:r>
    </w:p>
    <w:tbl>
      <w:tblPr>
        <w:tblStyle w:val="a"/>
        <w:tblW w:w="9255"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4320"/>
      </w:tblGrid>
      <w:tr w:rsidR="00622356">
        <w:trPr>
          <w:trHeight w:val="390"/>
        </w:trPr>
        <w:tc>
          <w:tcPr>
            <w:tcW w:w="49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13"/>
              </w:numPr>
              <w:pBdr>
                <w:top w:val="nil"/>
                <w:left w:val="nil"/>
                <w:bottom w:val="nil"/>
                <w:right w:val="nil"/>
                <w:between w:val="nil"/>
              </w:pBdr>
              <w:spacing w:after="0" w:line="240" w:lineRule="auto"/>
            </w:pPr>
            <w:r>
              <w:t>Headache or feeling pressure in head</w:t>
            </w:r>
          </w:p>
        </w:tc>
        <w:tc>
          <w:tcPr>
            <w:tcW w:w="43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20"/>
              </w:numPr>
              <w:pBdr>
                <w:top w:val="nil"/>
                <w:left w:val="nil"/>
                <w:bottom w:val="nil"/>
                <w:right w:val="nil"/>
                <w:between w:val="nil"/>
              </w:pBdr>
              <w:spacing w:after="0" w:line="240" w:lineRule="auto"/>
            </w:pPr>
            <w:r>
              <w:t>Nausea o</w:t>
            </w:r>
            <w:r>
              <w:t>r vomiting</w:t>
            </w:r>
          </w:p>
        </w:tc>
      </w:tr>
      <w:tr w:rsidR="00622356">
        <w:tc>
          <w:tcPr>
            <w:tcW w:w="49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7"/>
              </w:numPr>
              <w:pBdr>
                <w:top w:val="nil"/>
                <w:left w:val="nil"/>
                <w:bottom w:val="nil"/>
                <w:right w:val="nil"/>
                <w:between w:val="nil"/>
              </w:pBdr>
              <w:spacing w:after="0" w:line="240" w:lineRule="auto"/>
            </w:pPr>
            <w:r>
              <w:t>Balance problems or dizziness</w:t>
            </w:r>
          </w:p>
        </w:tc>
        <w:tc>
          <w:tcPr>
            <w:tcW w:w="43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18"/>
              </w:numPr>
              <w:pBdr>
                <w:top w:val="nil"/>
                <w:left w:val="nil"/>
                <w:bottom w:val="nil"/>
                <w:right w:val="nil"/>
                <w:between w:val="nil"/>
              </w:pBdr>
              <w:spacing w:after="0" w:line="240" w:lineRule="auto"/>
            </w:pPr>
            <w:r>
              <w:t>Double or blurry vision</w:t>
            </w:r>
          </w:p>
        </w:tc>
      </w:tr>
      <w:tr w:rsidR="00622356">
        <w:tc>
          <w:tcPr>
            <w:tcW w:w="49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2"/>
              </w:numPr>
              <w:pBdr>
                <w:top w:val="nil"/>
                <w:left w:val="nil"/>
                <w:bottom w:val="nil"/>
                <w:right w:val="nil"/>
                <w:between w:val="nil"/>
              </w:pBdr>
              <w:spacing w:after="0" w:line="240" w:lineRule="auto"/>
            </w:pPr>
            <w:r>
              <w:t>Sensitivity to light (too bright)</w:t>
            </w:r>
          </w:p>
        </w:tc>
        <w:tc>
          <w:tcPr>
            <w:tcW w:w="43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10"/>
              </w:numPr>
              <w:pBdr>
                <w:top w:val="nil"/>
                <w:left w:val="nil"/>
                <w:bottom w:val="nil"/>
                <w:right w:val="nil"/>
                <w:between w:val="nil"/>
              </w:pBdr>
              <w:spacing w:after="0" w:line="240" w:lineRule="auto"/>
            </w:pPr>
            <w:r>
              <w:t>Feeling sluggish, hazy, or groggy</w:t>
            </w:r>
          </w:p>
        </w:tc>
      </w:tr>
      <w:tr w:rsidR="00622356">
        <w:tc>
          <w:tcPr>
            <w:tcW w:w="49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6"/>
              </w:numPr>
              <w:pBdr>
                <w:top w:val="nil"/>
                <w:left w:val="nil"/>
                <w:bottom w:val="nil"/>
                <w:right w:val="nil"/>
                <w:between w:val="nil"/>
              </w:pBdr>
              <w:spacing w:after="0" w:line="240" w:lineRule="auto"/>
            </w:pPr>
            <w:r>
              <w:t>Sensitivity to noise (too noisy)</w:t>
            </w:r>
          </w:p>
        </w:tc>
        <w:tc>
          <w:tcPr>
            <w:tcW w:w="43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19"/>
              </w:numPr>
              <w:pBdr>
                <w:top w:val="nil"/>
                <w:left w:val="nil"/>
                <w:bottom w:val="nil"/>
                <w:right w:val="nil"/>
                <w:between w:val="nil"/>
              </w:pBdr>
              <w:spacing w:after="0" w:line="240" w:lineRule="auto"/>
            </w:pPr>
            <w:r>
              <w:t>Confusion</w:t>
            </w:r>
          </w:p>
        </w:tc>
      </w:tr>
      <w:tr w:rsidR="00622356">
        <w:tc>
          <w:tcPr>
            <w:tcW w:w="49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8"/>
              </w:numPr>
              <w:pBdr>
                <w:top w:val="nil"/>
                <w:left w:val="nil"/>
                <w:bottom w:val="nil"/>
                <w:right w:val="nil"/>
                <w:between w:val="nil"/>
              </w:pBdr>
              <w:spacing w:after="0" w:line="240" w:lineRule="auto"/>
            </w:pPr>
            <w:r>
              <w:t>Just not “feeling right”</w:t>
            </w:r>
          </w:p>
        </w:tc>
        <w:tc>
          <w:tcPr>
            <w:tcW w:w="43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11"/>
              </w:numPr>
              <w:pBdr>
                <w:top w:val="nil"/>
                <w:left w:val="nil"/>
                <w:bottom w:val="nil"/>
                <w:right w:val="nil"/>
                <w:between w:val="nil"/>
              </w:pBdr>
              <w:spacing w:after="0" w:line="240" w:lineRule="auto"/>
            </w:pPr>
            <w:r>
              <w:t>Mood or behavior changes</w:t>
            </w:r>
          </w:p>
        </w:tc>
      </w:tr>
    </w:tbl>
    <w:p w:rsidR="00622356" w:rsidRDefault="007078B8">
      <w:r>
        <w:t>Signs and symptoms of a brain injury do not always present until hours or sometimes days after the initial trauma. Due to this fact, you should be aware of possible signs and symptoms that indicate an emergency including but not limited to the following:</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22356">
        <w:trPr>
          <w:trHeight w:val="435"/>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1"/>
              </w:numPr>
              <w:pBdr>
                <w:top w:val="nil"/>
                <w:left w:val="nil"/>
                <w:bottom w:val="nil"/>
                <w:right w:val="nil"/>
                <w:between w:val="nil"/>
              </w:pBdr>
              <w:spacing w:after="0" w:line="240" w:lineRule="auto"/>
            </w:pPr>
            <w:r>
              <w:t>Signs/symptoms that worsen over time</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15"/>
              </w:numPr>
              <w:pBdr>
                <w:top w:val="nil"/>
                <w:left w:val="nil"/>
                <w:bottom w:val="nil"/>
                <w:right w:val="nil"/>
                <w:between w:val="nil"/>
              </w:pBdr>
              <w:spacing w:after="0" w:line="240" w:lineRule="auto"/>
            </w:pPr>
            <w:r>
              <w:t>Loss of consciousness</w:t>
            </w:r>
          </w:p>
        </w:tc>
      </w:tr>
      <w:tr w:rsidR="00622356">
        <w:trPr>
          <w:trHeight w:val="375"/>
        </w:trPr>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3"/>
              </w:numPr>
              <w:pBdr>
                <w:top w:val="nil"/>
                <w:left w:val="nil"/>
                <w:bottom w:val="nil"/>
                <w:right w:val="nil"/>
                <w:between w:val="nil"/>
              </w:pBdr>
              <w:spacing w:after="0" w:line="240" w:lineRule="auto"/>
            </w:pPr>
            <w:r>
              <w:t>Slurred Speech</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5"/>
              </w:numPr>
              <w:pBdr>
                <w:top w:val="nil"/>
                <w:left w:val="nil"/>
                <w:bottom w:val="nil"/>
                <w:right w:val="nil"/>
                <w:between w:val="nil"/>
              </w:pBdr>
              <w:spacing w:after="0" w:line="240" w:lineRule="auto"/>
            </w:pPr>
            <w:r>
              <w:t>Extreme drowsiness/cannot be awakened</w:t>
            </w:r>
          </w:p>
        </w:tc>
      </w:tr>
      <w:tr w:rsidR="00622356">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16"/>
              </w:numPr>
              <w:pBdr>
                <w:top w:val="nil"/>
                <w:left w:val="nil"/>
                <w:bottom w:val="nil"/>
                <w:right w:val="nil"/>
                <w:between w:val="nil"/>
              </w:pBdr>
              <w:spacing w:after="0" w:line="240" w:lineRule="auto"/>
            </w:pPr>
            <w:r>
              <w:t>Repeated vomiting or nausea</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17"/>
              </w:numPr>
              <w:pBdr>
                <w:top w:val="nil"/>
                <w:left w:val="nil"/>
                <w:bottom w:val="nil"/>
                <w:right w:val="nil"/>
                <w:between w:val="nil"/>
              </w:pBdr>
              <w:spacing w:after="0" w:line="240" w:lineRule="auto"/>
            </w:pPr>
            <w:r>
              <w:t>Difficulty recognizing people or places</w:t>
            </w:r>
          </w:p>
        </w:tc>
      </w:tr>
      <w:tr w:rsidR="00622356">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9"/>
              </w:numPr>
              <w:pBdr>
                <w:top w:val="nil"/>
                <w:left w:val="nil"/>
                <w:bottom w:val="nil"/>
                <w:right w:val="nil"/>
                <w:between w:val="nil"/>
              </w:pBdr>
              <w:spacing w:after="0" w:line="240" w:lineRule="auto"/>
            </w:pPr>
            <w:r>
              <w:t>Weakness or numbness</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14"/>
              </w:numPr>
              <w:pBdr>
                <w:top w:val="nil"/>
                <w:left w:val="nil"/>
                <w:bottom w:val="nil"/>
                <w:right w:val="nil"/>
                <w:between w:val="nil"/>
              </w:pBdr>
              <w:spacing w:after="0" w:line="240" w:lineRule="auto"/>
            </w:pPr>
            <w:r>
              <w:t>Convulsions or seizures</w:t>
            </w:r>
          </w:p>
        </w:tc>
      </w:tr>
      <w:tr w:rsidR="00622356">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4"/>
              </w:numPr>
              <w:pBdr>
                <w:top w:val="nil"/>
                <w:left w:val="nil"/>
                <w:bottom w:val="nil"/>
                <w:right w:val="nil"/>
                <w:between w:val="nil"/>
              </w:pBdr>
              <w:spacing w:after="0" w:line="240" w:lineRule="auto"/>
            </w:pPr>
            <w:r>
              <w:t>One pupil is larger than the other</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22356" w:rsidRDefault="007078B8">
            <w:pPr>
              <w:widowControl w:val="0"/>
              <w:numPr>
                <w:ilvl w:val="0"/>
                <w:numId w:val="12"/>
              </w:numPr>
              <w:pBdr>
                <w:top w:val="nil"/>
                <w:left w:val="nil"/>
                <w:bottom w:val="nil"/>
                <w:right w:val="nil"/>
                <w:between w:val="nil"/>
              </w:pBdr>
              <w:spacing w:after="0" w:line="240" w:lineRule="auto"/>
            </w:pPr>
            <w:r>
              <w:t>Increased confusion, restlessness/agitation</w:t>
            </w:r>
          </w:p>
        </w:tc>
      </w:tr>
    </w:tbl>
    <w:p w:rsidR="00622356" w:rsidRDefault="007078B8">
      <w:pPr>
        <w:rPr>
          <w:b/>
        </w:rPr>
      </w:pPr>
      <w:r>
        <w:t xml:space="preserve">A student-athlete that is removed from an athletic practice or competition will not be permitted to practice or compete again until the student-athlete </w:t>
      </w:r>
      <w:r>
        <w:rPr>
          <w:b/>
          <w:i/>
          <w:u w:val="single"/>
        </w:rPr>
        <w:t>has been evaluated and c</w:t>
      </w:r>
      <w:r>
        <w:rPr>
          <w:b/>
          <w:i/>
          <w:u w:val="single"/>
        </w:rPr>
        <w:t>leared</w:t>
      </w:r>
      <w:r>
        <w:rPr>
          <w:b/>
        </w:rPr>
        <w:t xml:space="preserve"> </w:t>
      </w:r>
      <w:r>
        <w:t>to begin the school districts return-to-play protocol through a written statement by their physician. The student-</w:t>
      </w:r>
      <w:proofErr w:type="spellStart"/>
      <w:r>
        <w:t>athlete’s</w:t>
      </w:r>
      <w:proofErr w:type="spellEnd"/>
      <w:r>
        <w:t xml:space="preserve"> guardian and student-athlete will have to return the physician's statement and complete a consent form indicating that they h</w:t>
      </w:r>
      <w:r>
        <w:t xml:space="preserve">ave been informed and consent to the policies established under the return-to-play concussion protocol.  </w:t>
      </w:r>
    </w:p>
    <w:p w:rsidR="00622356" w:rsidRDefault="007078B8">
      <w:r>
        <w:t>If you have any questions or concerns, please contact:</w:t>
      </w:r>
    </w:p>
    <w:p w:rsidR="00622356" w:rsidRDefault="007078B8">
      <w:pPr>
        <w:spacing w:after="0" w:line="240" w:lineRule="auto"/>
      </w:pPr>
      <w:r>
        <w:t xml:space="preserve">Blake </w:t>
      </w:r>
      <w:proofErr w:type="spellStart"/>
      <w:r>
        <w:t>Lapier</w:t>
      </w:r>
      <w:proofErr w:type="spellEnd"/>
      <w:r>
        <w:t>, MS, LAT, ATC</w:t>
      </w:r>
      <w:r>
        <w:tab/>
      </w:r>
      <w:r>
        <w:tab/>
        <w:t>Tevin Dent, LAT, ATC</w:t>
      </w:r>
      <w:r>
        <w:tab/>
      </w:r>
      <w:r>
        <w:tab/>
        <w:t>Melissa Jack, DAT, LAT, ATC</w:t>
      </w:r>
    </w:p>
    <w:p w:rsidR="00622356" w:rsidRDefault="007078B8">
      <w:pPr>
        <w:spacing w:after="0" w:line="240" w:lineRule="auto"/>
      </w:pPr>
      <w:r>
        <w:t>Head Athletic Trainer</w:t>
      </w:r>
      <w:r>
        <w:tab/>
      </w:r>
      <w:r>
        <w:tab/>
      </w:r>
      <w:r>
        <w:tab/>
        <w:t>Assistant Athletic Trainer</w:t>
      </w:r>
      <w:r>
        <w:tab/>
        <w:t>Assistant Athletic Trainer</w:t>
      </w:r>
    </w:p>
    <w:p w:rsidR="00622356" w:rsidRDefault="007078B8">
      <w:pPr>
        <w:spacing w:after="0" w:line="240" w:lineRule="auto"/>
      </w:pPr>
      <w:hyperlink r:id="rId7">
        <w:r>
          <w:rPr>
            <w:color w:val="1155CC"/>
            <w:u w:val="single"/>
          </w:rPr>
          <w:t>blapier@fisdk12.net</w:t>
        </w:r>
      </w:hyperlink>
      <w:r>
        <w:tab/>
      </w:r>
      <w:r>
        <w:tab/>
      </w:r>
      <w:r>
        <w:tab/>
      </w:r>
      <w:hyperlink r:id="rId8">
        <w:r>
          <w:rPr>
            <w:color w:val="1155CC"/>
            <w:u w:val="single"/>
          </w:rPr>
          <w:t>tdent@fisdk12.net</w:t>
        </w:r>
      </w:hyperlink>
      <w:r>
        <w:tab/>
      </w:r>
      <w:r>
        <w:tab/>
      </w:r>
      <w:hyperlink r:id="rId9">
        <w:r>
          <w:rPr>
            <w:color w:val="1155CC"/>
            <w:u w:val="single"/>
          </w:rPr>
          <w:t>mjac</w:t>
        </w:r>
        <w:r>
          <w:rPr>
            <w:color w:val="1155CC"/>
            <w:u w:val="single"/>
          </w:rPr>
          <w:t>k@fisdk12.net</w:t>
        </w:r>
      </w:hyperlink>
    </w:p>
    <w:p w:rsidR="00622356" w:rsidRDefault="007078B8">
      <w:pPr>
        <w:spacing w:after="0" w:line="240" w:lineRule="auto"/>
      </w:pPr>
      <w:r>
        <w:t>(979)- 583- 3168</w:t>
      </w:r>
      <w:r>
        <w:tab/>
      </w:r>
      <w:r>
        <w:tab/>
      </w:r>
      <w:r>
        <w:tab/>
        <w:t>(281)- 996- 6553</w:t>
      </w:r>
      <w:r>
        <w:tab/>
      </w:r>
      <w:r>
        <w:tab/>
        <w:t>(281)- 841-1292</w:t>
      </w:r>
    </w:p>
    <w:sectPr w:rsidR="006223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7AD"/>
    <w:multiLevelType w:val="multilevel"/>
    <w:tmpl w:val="3B905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76B42"/>
    <w:multiLevelType w:val="multilevel"/>
    <w:tmpl w:val="40BE4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1805B4"/>
    <w:multiLevelType w:val="multilevel"/>
    <w:tmpl w:val="F53ED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2968E0"/>
    <w:multiLevelType w:val="multilevel"/>
    <w:tmpl w:val="6D303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453752"/>
    <w:multiLevelType w:val="multilevel"/>
    <w:tmpl w:val="11BA5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EC3FF2"/>
    <w:multiLevelType w:val="multilevel"/>
    <w:tmpl w:val="DE143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062131"/>
    <w:multiLevelType w:val="multilevel"/>
    <w:tmpl w:val="2D6CE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C415A2"/>
    <w:multiLevelType w:val="multilevel"/>
    <w:tmpl w:val="48FC5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FD778B"/>
    <w:multiLevelType w:val="multilevel"/>
    <w:tmpl w:val="E0F6D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2A4F8E"/>
    <w:multiLevelType w:val="multilevel"/>
    <w:tmpl w:val="A03C9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EA289F"/>
    <w:multiLevelType w:val="multilevel"/>
    <w:tmpl w:val="1A5A6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1B7A34"/>
    <w:multiLevelType w:val="multilevel"/>
    <w:tmpl w:val="C7CEE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AB6DF5"/>
    <w:multiLevelType w:val="multilevel"/>
    <w:tmpl w:val="1AACB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B06D20"/>
    <w:multiLevelType w:val="multilevel"/>
    <w:tmpl w:val="565C8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584DD3"/>
    <w:multiLevelType w:val="multilevel"/>
    <w:tmpl w:val="E034E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2C26D9F"/>
    <w:multiLevelType w:val="multilevel"/>
    <w:tmpl w:val="70304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253C44"/>
    <w:multiLevelType w:val="multilevel"/>
    <w:tmpl w:val="5AB8A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C4B58FF"/>
    <w:multiLevelType w:val="multilevel"/>
    <w:tmpl w:val="035AD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6244A6"/>
    <w:multiLevelType w:val="multilevel"/>
    <w:tmpl w:val="C5361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0C3BB0"/>
    <w:multiLevelType w:val="multilevel"/>
    <w:tmpl w:val="02D2A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3"/>
  </w:num>
  <w:num w:numId="3">
    <w:abstractNumId w:val="3"/>
  </w:num>
  <w:num w:numId="4">
    <w:abstractNumId w:val="15"/>
  </w:num>
  <w:num w:numId="5">
    <w:abstractNumId w:val="17"/>
  </w:num>
  <w:num w:numId="6">
    <w:abstractNumId w:val="12"/>
  </w:num>
  <w:num w:numId="7">
    <w:abstractNumId w:val="0"/>
  </w:num>
  <w:num w:numId="8">
    <w:abstractNumId w:val="16"/>
  </w:num>
  <w:num w:numId="9">
    <w:abstractNumId w:val="10"/>
  </w:num>
  <w:num w:numId="10">
    <w:abstractNumId w:val="7"/>
  </w:num>
  <w:num w:numId="11">
    <w:abstractNumId w:val="11"/>
  </w:num>
  <w:num w:numId="12">
    <w:abstractNumId w:val="8"/>
  </w:num>
  <w:num w:numId="13">
    <w:abstractNumId w:val="1"/>
  </w:num>
  <w:num w:numId="14">
    <w:abstractNumId w:val="2"/>
  </w:num>
  <w:num w:numId="15">
    <w:abstractNumId w:val="5"/>
  </w:num>
  <w:num w:numId="16">
    <w:abstractNumId w:val="4"/>
  </w:num>
  <w:num w:numId="17">
    <w:abstractNumId w:val="19"/>
  </w:num>
  <w:num w:numId="18">
    <w:abstractNumId w:val="6"/>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56"/>
    <w:rsid w:val="00622356"/>
    <w:rsid w:val="0070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3F459B-FEFF-403A-8554-F3564FA5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B4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03D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dent@fisd12.net" TargetMode="External"/><Relationship Id="rId3" Type="http://schemas.openxmlformats.org/officeDocument/2006/relationships/styles" Target="styles.xml"/><Relationship Id="rId7" Type="http://schemas.openxmlformats.org/officeDocument/2006/relationships/hyperlink" Target="mailto:blapier@fisdk12.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jack@fisdk12.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9NVzN+ZvTI3Blq0URD1M8O0UXQ==">AMUW2mXgDDnGHeC/niSrpzhO5k6NagWtnre82A9p5dcRMh8m8/vfp8BPzRk2nBDtP9FcYao/FQ4ivDNiL5+2oIbty72iRJ/h/DksY/nS1gFLhecnkcrh+y0=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Lapier</dc:creator>
  <cp:lastModifiedBy>Jack, Melissa L.</cp:lastModifiedBy>
  <cp:revision>2</cp:revision>
  <dcterms:created xsi:type="dcterms:W3CDTF">2020-10-01T15:27:00Z</dcterms:created>
  <dcterms:modified xsi:type="dcterms:W3CDTF">2020-10-01T15:27:00Z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0x010100B6C4842B128F4349A5719F6D6B38C379</vt:lpwstr>
  </property>
</Properties>
</file>